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5"/>
        <w:rPr>
          <w:sz w:val="19"/>
        </w:rPr>
      </w:pPr>
    </w:p>
    <w:p>
      <w:pPr>
        <w:pStyle w:val="2"/>
      </w:pPr>
      <w:r>
        <w:t>关于印发《吉林市城镇住宅小区</w:t>
      </w:r>
    </w:p>
    <w:p>
      <w:pPr>
        <w:spacing w:before="105"/>
        <w:ind w:left="552" w:right="898" w:firstLine="0"/>
        <w:jc w:val="center"/>
        <w:rPr>
          <w:rFonts w:hint="eastAsia" w:ascii="PMingLiU" w:eastAsia="PMingLiU"/>
          <w:sz w:val="44"/>
        </w:rPr>
      </w:pPr>
      <w:r>
        <w:rPr>
          <w:rFonts w:hint="eastAsia" w:ascii="PMingLiU" w:eastAsia="PMingLiU"/>
          <w:sz w:val="44"/>
        </w:rPr>
        <w:t>配套幼儿园建设及产权移交办法》的通知</w:t>
      </w:r>
    </w:p>
    <w:p>
      <w:pPr>
        <w:pStyle w:val="3"/>
        <w:spacing w:before="12"/>
        <w:rPr>
          <w:rFonts w:ascii="PMingLiU"/>
          <w:sz w:val="49"/>
        </w:rPr>
      </w:pPr>
    </w:p>
    <w:p>
      <w:pPr>
        <w:pStyle w:val="3"/>
        <w:spacing w:line="364" w:lineRule="auto"/>
        <w:ind w:left="108" w:right="448"/>
        <w:jc w:val="both"/>
      </w:pPr>
      <w:r>
        <w:rPr>
          <w:w w:val="95"/>
        </w:rPr>
        <w:t>各县（市）区、高新区、经开区教育局、发改局、财政局、规划</w:t>
      </w:r>
      <w:r>
        <w:rPr>
          <w:spacing w:val="1"/>
          <w:w w:val="95"/>
        </w:rPr>
        <w:t xml:space="preserve"> </w:t>
      </w:r>
      <w:r>
        <w:rPr>
          <w:spacing w:val="-12"/>
          <w:w w:val="95"/>
        </w:rPr>
        <w:t>和自然资源局、住房和城乡建设局、政务服务和数字化建设管理</w:t>
      </w:r>
      <w:r>
        <w:rPr>
          <w:spacing w:val="1"/>
          <w:w w:val="95"/>
        </w:rPr>
        <w:t xml:space="preserve"> </w:t>
      </w:r>
      <w:r>
        <w:t>局：</w:t>
      </w:r>
    </w:p>
    <w:p>
      <w:pPr>
        <w:pStyle w:val="3"/>
        <w:spacing w:line="364" w:lineRule="auto"/>
        <w:ind w:left="108" w:right="448" w:firstLine="560" w:firstLineChars="200"/>
        <w:jc w:val="both"/>
        <w:rPr>
          <w:spacing w:val="-12"/>
          <w:w w:val="95"/>
        </w:rPr>
      </w:pPr>
      <w:r>
        <w:rPr>
          <w:spacing w:val="-12"/>
          <w:w w:val="95"/>
        </w:rPr>
        <w:t>现将《吉林市城镇住宅小区配套幼儿园建设及产权移交办法》印</w:t>
      </w:r>
    </w:p>
    <w:p>
      <w:pPr>
        <w:pStyle w:val="3"/>
        <w:spacing w:line="364" w:lineRule="auto"/>
        <w:ind w:left="108" w:right="448"/>
        <w:jc w:val="both"/>
        <w:rPr>
          <w:spacing w:val="-12"/>
          <w:w w:val="95"/>
        </w:rPr>
      </w:pPr>
      <w:r>
        <w:rPr>
          <w:spacing w:val="-12"/>
          <w:w w:val="95"/>
        </w:rPr>
        <w:t>发给你们，请认真遵照执行。</w:t>
      </w:r>
    </w:p>
    <w:p>
      <w:pPr>
        <w:pStyle w:val="3"/>
        <w:spacing w:line="364" w:lineRule="auto"/>
        <w:ind w:left="108" w:right="448"/>
        <w:jc w:val="both"/>
        <w:rPr>
          <w:spacing w:val="-12"/>
          <w:w w:val="95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29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1008380</wp:posOffset>
            </wp:positionH>
            <wp:positionV relativeFrom="paragraph">
              <wp:posOffset>265430</wp:posOffset>
            </wp:positionV>
            <wp:extent cx="5875020" cy="12065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841" cy="12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5740"/>
        </w:tabs>
        <w:spacing w:before="89" w:after="123"/>
        <w:ind w:left="0" w:right="448" w:firstLine="0"/>
        <w:jc w:val="right"/>
        <w:rPr>
          <w:sz w:val="28"/>
        </w:rPr>
      </w:pPr>
      <w:r>
        <w:rPr>
          <w:sz w:val="28"/>
        </w:rPr>
        <w:t>吉林市教育局办公室</w:t>
      </w:r>
      <w:r>
        <w:rPr>
          <w:sz w:val="28"/>
        </w:rPr>
        <w:tab/>
      </w:r>
      <w:r>
        <w:rPr>
          <w:sz w:val="28"/>
        </w:rPr>
        <w:t>2020</w:t>
      </w:r>
      <w:r>
        <w:rPr>
          <w:spacing w:val="-82"/>
          <w:sz w:val="28"/>
        </w:rPr>
        <w:t xml:space="preserve"> </w:t>
      </w:r>
      <w:r>
        <w:rPr>
          <w:sz w:val="28"/>
        </w:rPr>
        <w:t>年</w:t>
      </w:r>
      <w:r>
        <w:rPr>
          <w:spacing w:val="-76"/>
          <w:sz w:val="28"/>
        </w:rPr>
        <w:t xml:space="preserve"> </w:t>
      </w:r>
      <w:r>
        <w:rPr>
          <w:sz w:val="28"/>
        </w:rPr>
        <w:t>10</w:t>
      </w:r>
      <w:r>
        <w:rPr>
          <w:spacing w:val="-82"/>
          <w:sz w:val="28"/>
        </w:rPr>
        <w:t xml:space="preserve"> </w:t>
      </w:r>
      <w:r>
        <w:rPr>
          <w:sz w:val="28"/>
        </w:rPr>
        <w:t>月</w:t>
      </w:r>
      <w:r>
        <w:rPr>
          <w:spacing w:val="-79"/>
          <w:sz w:val="28"/>
        </w:rPr>
        <w:t xml:space="preserve"> </w:t>
      </w:r>
      <w:r>
        <w:rPr>
          <w:sz w:val="28"/>
        </w:rPr>
        <w:t>28</w:t>
      </w:r>
      <w:r>
        <w:rPr>
          <w:spacing w:val="-80"/>
          <w:sz w:val="28"/>
        </w:rPr>
        <w:t xml:space="preserve"> </w:t>
      </w:r>
      <w:r>
        <w:rPr>
          <w:sz w:val="28"/>
        </w:rPr>
        <w:t>日印发</w:t>
      </w:r>
    </w:p>
    <w:p>
      <w:pPr>
        <w:pStyle w:val="3"/>
        <w:spacing w:line="20" w:lineRule="exact"/>
        <w:ind w:left="108"/>
        <w:rPr>
          <w:sz w:val="2"/>
        </w:rPr>
      </w:pPr>
      <w:r>
        <w:rPr>
          <w:sz w:val="2"/>
        </w:rPr>
        <w:drawing>
          <wp:inline distT="0" distB="0" distL="0" distR="0">
            <wp:extent cx="5737860" cy="1143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8217" cy="1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0" w:lineRule="exact"/>
        <w:rPr>
          <w:sz w:val="2"/>
        </w:rPr>
        <w:sectPr>
          <w:footerReference r:id="rId3" w:type="default"/>
          <w:footerReference r:id="rId4" w:type="even"/>
          <w:pgSz w:w="11910" w:h="16840"/>
          <w:pgMar w:top="1580" w:right="1020" w:bottom="1160" w:left="1480" w:header="0" w:footer="972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2"/>
        <w:spacing w:before="230"/>
        <w:ind w:left="2549" w:right="1794" w:hanging="1102"/>
        <w:jc w:val="left"/>
      </w:pPr>
      <w:r>
        <w:t>吉林市城镇住宅小区配套幼儿园建设及产权移交办法</w:t>
      </w:r>
    </w:p>
    <w:p>
      <w:pPr>
        <w:pStyle w:val="3"/>
        <w:spacing w:before="9"/>
        <w:rPr>
          <w:rFonts w:ascii="PMingLiU"/>
          <w:sz w:val="54"/>
        </w:rPr>
      </w:pPr>
    </w:p>
    <w:p>
      <w:pPr>
        <w:pStyle w:val="3"/>
        <w:spacing w:line="328" w:lineRule="auto"/>
        <w:ind w:left="108" w:right="452" w:firstLine="640"/>
        <w:jc w:val="both"/>
      </w:pPr>
      <w:r>
        <w:rPr>
          <w:rFonts w:hint="eastAsia" w:ascii="黑体" w:eastAsia="黑体"/>
          <w:w w:val="95"/>
        </w:rPr>
        <w:t>一</w:t>
      </w:r>
      <w:r>
        <w:rPr>
          <w:spacing w:val="-12"/>
          <w:w w:val="95"/>
        </w:rPr>
        <w:t>、为进一步规范全市城镇住宅小区配套幼儿园建设及产权</w:t>
      </w:r>
      <w:r>
        <w:rPr>
          <w:spacing w:val="1"/>
          <w:w w:val="95"/>
        </w:rPr>
        <w:t xml:space="preserve"> </w:t>
      </w:r>
      <w:r>
        <w:rPr>
          <w:spacing w:val="-12"/>
          <w:w w:val="95"/>
        </w:rPr>
        <w:t>移交管理工作，按照国务院和省、市政府及其相关部门关于城镇</w:t>
      </w:r>
      <w:r>
        <w:rPr>
          <w:spacing w:val="1"/>
          <w:w w:val="95"/>
        </w:rPr>
        <w:t xml:space="preserve"> </w:t>
      </w:r>
      <w:r>
        <w:rPr>
          <w:spacing w:val="-7"/>
          <w:w w:val="95"/>
        </w:rPr>
        <w:t>住宅小区配套幼儿园治理工作文件要求，根据国家和省幼儿园建</w:t>
      </w:r>
      <w:r>
        <w:rPr>
          <w:spacing w:val="1"/>
          <w:w w:val="95"/>
        </w:rPr>
        <w:t xml:space="preserve"> </w:t>
      </w:r>
      <w:r>
        <w:rPr>
          <w:w w:val="95"/>
        </w:rPr>
        <w:t>筑设计规范及设置标准，按市政府意见，结合我市实际，制定本</w:t>
      </w:r>
      <w:r>
        <w:rPr>
          <w:spacing w:val="1"/>
          <w:w w:val="95"/>
        </w:rPr>
        <w:t xml:space="preserve"> </w:t>
      </w:r>
      <w:r>
        <w:t>办法。</w:t>
      </w:r>
    </w:p>
    <w:p>
      <w:pPr>
        <w:pStyle w:val="3"/>
        <w:spacing w:line="326" w:lineRule="auto"/>
        <w:ind w:left="108" w:right="450" w:firstLine="640"/>
        <w:jc w:val="both"/>
      </w:pPr>
      <w:r>
        <w:rPr>
          <w:rFonts w:hint="eastAsia" w:ascii="黑体" w:eastAsia="黑体"/>
          <w:spacing w:val="-29"/>
          <w:w w:val="95"/>
        </w:rPr>
        <w:t>二、</w:t>
      </w:r>
      <w:r>
        <w:rPr>
          <w:spacing w:val="-4"/>
          <w:w w:val="95"/>
        </w:rPr>
        <w:t>本办法所指的城镇住宅小区配套幼儿园，是在城镇规划</w:t>
      </w:r>
      <w:r>
        <w:rPr>
          <w:spacing w:val="1"/>
          <w:w w:val="95"/>
        </w:rPr>
        <w:t xml:space="preserve"> </w:t>
      </w:r>
      <w:r>
        <w:rPr>
          <w:w w:val="95"/>
        </w:rPr>
        <w:t>建设用地范围内新建居住小区或进行旧区改造时，按照国家标</w:t>
      </w:r>
      <w:r>
        <w:rPr>
          <w:spacing w:val="165"/>
        </w:rPr>
        <w:t xml:space="preserve"> </w:t>
      </w:r>
      <w:r>
        <w:t>准、规范应当配套建设的幼儿园。</w:t>
      </w:r>
    </w:p>
    <w:p>
      <w:pPr>
        <w:pStyle w:val="3"/>
        <w:spacing w:line="328" w:lineRule="auto"/>
        <w:ind w:left="108" w:right="289" w:firstLine="640"/>
      </w:pPr>
      <w:r>
        <w:rPr>
          <w:rFonts w:hint="eastAsia" w:ascii="黑体" w:eastAsia="黑体"/>
          <w:spacing w:val="-69"/>
          <w:w w:val="95"/>
        </w:rPr>
        <w:t>三、</w:t>
      </w:r>
      <w:r>
        <w:rPr>
          <w:spacing w:val="-10"/>
          <w:w w:val="95"/>
        </w:rPr>
        <w:t>城镇新建居住小区或进行旧区改造</w:t>
      </w:r>
      <w:r>
        <w:rPr>
          <w:w w:val="95"/>
        </w:rPr>
        <w:t>（以下统称住宅小区）</w:t>
      </w:r>
      <w:r>
        <w:rPr>
          <w:spacing w:val="1"/>
          <w:w w:val="95"/>
        </w:rPr>
        <w:t xml:space="preserve"> </w:t>
      </w:r>
      <w:r>
        <w:rPr>
          <w:spacing w:val="-13"/>
          <w:w w:val="95"/>
        </w:rPr>
        <w:t xml:space="preserve">过程中，按照国家、省、市要求，每 </w:t>
      </w:r>
      <w:r>
        <w:rPr>
          <w:w w:val="95"/>
        </w:rPr>
        <w:t>5000</w:t>
      </w:r>
      <w:r>
        <w:rPr>
          <w:spacing w:val="-8"/>
          <w:w w:val="95"/>
        </w:rPr>
        <w:t xml:space="preserve"> 人口</w:t>
      </w:r>
      <w:r>
        <w:rPr>
          <w:w w:val="95"/>
        </w:rPr>
        <w:t>（</w:t>
      </w:r>
      <w:r>
        <w:rPr>
          <w:spacing w:val="16"/>
          <w:w w:val="95"/>
        </w:rPr>
        <w:t xml:space="preserve">约 </w:t>
      </w:r>
      <w:r>
        <w:rPr>
          <w:w w:val="95"/>
        </w:rPr>
        <w:t>1500</w:t>
      </w:r>
      <w:r>
        <w:rPr>
          <w:spacing w:val="7"/>
          <w:w w:val="95"/>
        </w:rPr>
        <w:t xml:space="preserve"> 套住宅</w:t>
      </w:r>
      <w:r>
        <w:rPr>
          <w:w w:val="95"/>
        </w:rPr>
        <w:t>）</w:t>
      </w:r>
      <w:r>
        <w:rPr>
          <w:spacing w:val="-149"/>
          <w:w w:val="95"/>
        </w:rPr>
        <w:t xml:space="preserve"> </w:t>
      </w:r>
      <w:r>
        <w:rPr>
          <w:spacing w:val="-8"/>
        </w:rPr>
        <w:t>区域内预留一所幼儿园建设用地，且新建住宅小区开发建设的幼</w:t>
      </w:r>
      <w:r>
        <w:rPr>
          <w:spacing w:val="7"/>
          <w:w w:val="95"/>
        </w:rPr>
        <w:t xml:space="preserve">儿园生均用地不低于 </w:t>
      </w:r>
      <w:r>
        <w:rPr>
          <w:w w:val="95"/>
        </w:rPr>
        <w:t>15 平方米，旧区改造建设的幼儿园生均用</w:t>
      </w:r>
    </w:p>
    <w:p>
      <w:pPr>
        <w:pStyle w:val="3"/>
        <w:spacing w:line="328" w:lineRule="auto"/>
        <w:ind w:left="108" w:right="337"/>
        <w:jc w:val="both"/>
      </w:pPr>
      <w:r>
        <w:rPr>
          <w:spacing w:val="17"/>
          <w:w w:val="95"/>
        </w:rPr>
        <w:t xml:space="preserve">地不低于 </w:t>
      </w:r>
      <w:r>
        <w:rPr>
          <w:w w:val="95"/>
        </w:rPr>
        <w:t>10 平方米。在国有土地使用权规划附加条件中应明确</w:t>
      </w:r>
      <w:r>
        <w:rPr>
          <w:spacing w:val="-12"/>
        </w:rPr>
        <w:t>约定，由房地产开发企业出资为达到标准的住宅项目配套建设幼</w:t>
      </w:r>
      <w:r>
        <w:rPr>
          <w:spacing w:val="-8"/>
        </w:rPr>
        <w:t>儿园基础设施配备必要基本设备，并向属地政府教育部门无偿移</w:t>
      </w:r>
      <w:r>
        <w:rPr>
          <w:spacing w:val="-6"/>
        </w:rPr>
        <w:t>交所开发项目的城镇住宅小区配套幼儿园园舍产权。同时，明示</w:t>
      </w:r>
      <w:r>
        <w:rPr>
          <w:spacing w:val="-2"/>
        </w:rPr>
        <w:t>配套幼儿园建设规模、标准要求、交付条件、产权归属和违约责</w:t>
      </w:r>
      <w:r>
        <w:rPr>
          <w:w w:val="95"/>
        </w:rPr>
        <w:t>任等事项，且应按照本办法所列内容，对照《幼儿园建设标准》</w:t>
      </w:r>
      <w:r>
        <w:rPr>
          <w:spacing w:val="2"/>
          <w:w w:val="99"/>
        </w:rPr>
        <w:t>（</w:t>
      </w:r>
      <w:r>
        <w:rPr>
          <w:w w:val="99"/>
        </w:rPr>
        <w:t>建标</w:t>
      </w:r>
      <w:r>
        <w:rPr>
          <w:spacing w:val="-79"/>
        </w:rPr>
        <w:t xml:space="preserve"> </w:t>
      </w:r>
      <w:r>
        <w:rPr>
          <w:spacing w:val="1"/>
          <w:w w:val="99"/>
        </w:rPr>
        <w:t>1</w:t>
      </w:r>
      <w:r>
        <w:rPr>
          <w:w w:val="99"/>
        </w:rPr>
        <w:t>75-20</w:t>
      </w:r>
      <w:r>
        <w:rPr>
          <w:spacing w:val="1"/>
          <w:w w:val="99"/>
        </w:rPr>
        <w:t>1</w:t>
      </w:r>
      <w:r>
        <w:rPr>
          <w:spacing w:val="-2"/>
          <w:w w:val="99"/>
        </w:rPr>
        <w:t>6</w:t>
      </w:r>
      <w:r>
        <w:rPr>
          <w:spacing w:val="-269"/>
          <w:w w:val="99"/>
        </w:rPr>
        <w:t>）</w:t>
      </w:r>
      <w:r>
        <w:rPr>
          <w:spacing w:val="-12"/>
          <w:w w:val="99"/>
        </w:rPr>
        <w:t>《托儿所、幼儿园建筑设计规范</w:t>
      </w:r>
      <w:r>
        <w:rPr>
          <w:spacing w:val="-270"/>
          <w:w w:val="99"/>
        </w:rPr>
        <w:t>》</w:t>
      </w:r>
      <w:r>
        <w:rPr>
          <w:spacing w:val="2"/>
          <w:w w:val="99"/>
        </w:rPr>
        <w:t>（</w:t>
      </w:r>
      <w:r>
        <w:rPr>
          <w:w w:val="99"/>
        </w:rPr>
        <w:t>JG</w:t>
      </w:r>
      <w:r>
        <w:rPr>
          <w:spacing w:val="1"/>
          <w:w w:val="99"/>
        </w:rPr>
        <w:t>J</w:t>
      </w:r>
      <w:r>
        <w:rPr>
          <w:w w:val="99"/>
        </w:rPr>
        <w:t>39</w:t>
      </w:r>
      <w:r>
        <w:rPr>
          <w:spacing w:val="1"/>
          <w:w w:val="99"/>
        </w:rPr>
        <w:t>-</w:t>
      </w:r>
      <w:r>
        <w:rPr>
          <w:w w:val="99"/>
        </w:rPr>
        <w:t>20</w:t>
      </w:r>
      <w:r>
        <w:rPr>
          <w:spacing w:val="1"/>
          <w:w w:val="99"/>
        </w:rPr>
        <w:t>1</w:t>
      </w:r>
      <w:r>
        <w:rPr>
          <w:spacing w:val="-2"/>
          <w:w w:val="99"/>
        </w:rPr>
        <w:t>6</w:t>
      </w:r>
      <w:r>
        <w:rPr>
          <w:w w:val="99"/>
        </w:rPr>
        <w:t>）</w:t>
      </w:r>
      <w:r>
        <w:t>及“2019 年局部修订条文”等规范和标准，完成交付即能使用的“交钥匙”工程。</w:t>
      </w:r>
    </w:p>
    <w:p>
      <w:pPr>
        <w:pStyle w:val="3"/>
        <w:spacing w:before="6" w:line="326" w:lineRule="auto"/>
        <w:ind w:left="108" w:right="450" w:firstLine="640"/>
        <w:jc w:val="both"/>
      </w:pPr>
      <w:r>
        <w:rPr>
          <w:rFonts w:hint="eastAsia" w:ascii="黑体" w:eastAsia="黑体"/>
          <w:w w:val="95"/>
        </w:rPr>
        <w:t>四、</w:t>
      </w:r>
      <w:r>
        <w:rPr>
          <w:spacing w:val="2"/>
          <w:w w:val="95"/>
        </w:rPr>
        <w:t xml:space="preserve">城镇住宅小区规模达到 </w:t>
      </w:r>
      <w:r>
        <w:rPr>
          <w:w w:val="95"/>
        </w:rPr>
        <w:t>5000</w:t>
      </w:r>
      <w:r>
        <w:rPr>
          <w:spacing w:val="3"/>
          <w:w w:val="95"/>
        </w:rPr>
        <w:t xml:space="preserve"> 人口应配建规模为 </w:t>
      </w:r>
      <w:r>
        <w:rPr>
          <w:w w:val="95"/>
        </w:rPr>
        <w:t>8</w:t>
      </w:r>
      <w:r>
        <w:rPr>
          <w:spacing w:val="10"/>
          <w:w w:val="95"/>
        </w:rPr>
        <w:t xml:space="preserve"> 个班</w:t>
      </w:r>
      <w:r>
        <w:rPr>
          <w:spacing w:val="-9"/>
          <w:w w:val="95"/>
        </w:rPr>
        <w:t xml:space="preserve">型的幼儿园， </w:t>
      </w:r>
      <w:r>
        <w:rPr>
          <w:w w:val="95"/>
        </w:rPr>
        <w:t>5000</w:t>
      </w:r>
      <w:r>
        <w:rPr>
          <w:spacing w:val="1"/>
          <w:w w:val="95"/>
        </w:rPr>
        <w:t xml:space="preserve"> 人口以上-</w:t>
      </w:r>
      <w:r>
        <w:rPr>
          <w:w w:val="95"/>
        </w:rPr>
        <w:t>6000</w:t>
      </w:r>
      <w:r>
        <w:rPr>
          <w:spacing w:val="1"/>
          <w:w w:val="95"/>
        </w:rPr>
        <w:t xml:space="preserve"> 人口应配建规模为 </w:t>
      </w:r>
      <w:r>
        <w:rPr>
          <w:w w:val="95"/>
        </w:rPr>
        <w:t>10</w:t>
      </w:r>
      <w:r>
        <w:rPr>
          <w:spacing w:val="3"/>
          <w:w w:val="95"/>
        </w:rPr>
        <w:t xml:space="preserve"> 个班型</w:t>
      </w:r>
      <w:r>
        <w:rPr>
          <w:spacing w:val="21"/>
          <w:w w:val="95"/>
        </w:rPr>
        <w:t xml:space="preserve">的幼儿园， </w:t>
      </w:r>
      <w:r>
        <w:rPr>
          <w:w w:val="95"/>
        </w:rPr>
        <w:t>6000 人口以上-10000</w:t>
      </w:r>
      <w:r>
        <w:rPr>
          <w:spacing w:val="1"/>
          <w:w w:val="95"/>
        </w:rPr>
        <w:t xml:space="preserve"> 人口以内或达到 </w:t>
      </w:r>
      <w:r>
        <w:rPr>
          <w:w w:val="95"/>
        </w:rPr>
        <w:t>5000</w:t>
      </w:r>
      <w:r>
        <w:rPr>
          <w:spacing w:val="1"/>
          <w:w w:val="95"/>
        </w:rPr>
        <w:t xml:space="preserve"> 人口的</w:t>
      </w:r>
    </w:p>
    <w:p>
      <w:pPr>
        <w:pStyle w:val="3"/>
        <w:spacing w:before="7"/>
        <w:ind w:left="108"/>
        <w:jc w:val="both"/>
      </w:pPr>
      <w:r>
        <w:rPr>
          <w:w w:val="95"/>
        </w:rPr>
        <w:t>集中连片小区（含居住组团小区）应配建规模为</w:t>
      </w:r>
      <w:r>
        <w:rPr>
          <w:spacing w:val="156"/>
        </w:rPr>
        <w:t xml:space="preserve"> </w:t>
      </w:r>
      <w:r>
        <w:rPr>
          <w:w w:val="95"/>
        </w:rPr>
        <w:t>12</w:t>
      </w:r>
      <w:r>
        <w:rPr>
          <w:spacing w:val="154"/>
        </w:rPr>
        <w:t xml:space="preserve"> </w:t>
      </w:r>
      <w:r>
        <w:rPr>
          <w:w w:val="95"/>
        </w:rPr>
        <w:t>个班型的幼</w:t>
      </w:r>
    </w:p>
    <w:p>
      <w:pPr>
        <w:pStyle w:val="3"/>
        <w:spacing w:before="150" w:line="328" w:lineRule="auto"/>
        <w:ind w:left="108" w:right="287"/>
      </w:pPr>
      <w:r>
        <w:rPr>
          <w:spacing w:val="-14"/>
          <w:w w:val="95"/>
        </w:rPr>
        <w:t xml:space="preserve">儿园，平均班额为 </w:t>
      </w:r>
      <w:r>
        <w:rPr>
          <w:w w:val="95"/>
        </w:rPr>
        <w:t>30</w:t>
      </w:r>
      <w:r>
        <w:rPr>
          <w:spacing w:val="-8"/>
          <w:w w:val="95"/>
        </w:rPr>
        <w:t xml:space="preserve"> 人。开发总量人口规模不足 </w:t>
      </w:r>
      <w:r>
        <w:rPr>
          <w:w w:val="95"/>
        </w:rPr>
        <w:t>5000</w:t>
      </w:r>
      <w:r>
        <w:rPr>
          <w:spacing w:val="4"/>
          <w:w w:val="95"/>
        </w:rPr>
        <w:t xml:space="preserve"> 人的小区，</w:t>
      </w:r>
      <w:r>
        <w:rPr>
          <w:spacing w:val="-149"/>
          <w:w w:val="95"/>
        </w:rPr>
        <w:t xml:space="preserve"> </w:t>
      </w:r>
      <w:r>
        <w:t>以及零星开发的商品房项目、保障性住宅项目和旧区改造项目，</w:t>
      </w:r>
      <w:r>
        <w:rPr>
          <w:spacing w:val="-157"/>
        </w:rPr>
        <w:t xml:space="preserve"> </w:t>
      </w:r>
      <w:r>
        <w:rPr>
          <w:spacing w:val="-9"/>
        </w:rPr>
        <w:t>由有关部门根据实际，统筹解决幼儿园建设规划、建设用地及建</w:t>
      </w:r>
      <w:r>
        <w:rPr>
          <w:spacing w:val="-11"/>
        </w:rPr>
        <w:t>设规模等问题。将幼儿园建设纳入老旧小区改造范围。住宅开发</w:t>
      </w:r>
      <w:r>
        <w:rPr>
          <w:spacing w:val="-6"/>
        </w:rPr>
        <w:t>项目用地规划条件中有幼儿园控制指标的，应按规划条件规定配</w:t>
      </w:r>
      <w:r>
        <w:rPr>
          <w:spacing w:val="-12"/>
        </w:rPr>
        <w:t>建。城镇住宅小区需配套的幼儿园设施规模少于幼儿园布局专项</w:t>
      </w:r>
      <w:r>
        <w:rPr>
          <w:spacing w:val="-11"/>
        </w:rPr>
        <w:t>规划的，应按照专项规划确定的规模一次性建设。任何单位和个</w:t>
      </w:r>
      <w:r>
        <w:t>人不得擅自更改经批准的幼儿园布局专项规划。</w:t>
      </w:r>
    </w:p>
    <w:p>
      <w:pPr>
        <w:pStyle w:val="3"/>
        <w:spacing w:line="397" w:lineRule="exact"/>
        <w:ind w:left="749"/>
      </w:pPr>
      <w:r>
        <w:rPr>
          <w:rFonts w:hint="eastAsia" w:ascii="黑体" w:eastAsia="黑体"/>
          <w:spacing w:val="-29"/>
        </w:rPr>
        <w:t>五、</w:t>
      </w:r>
      <w:r>
        <w:rPr>
          <w:spacing w:val="-4"/>
        </w:rPr>
        <w:t>开发企业建设城镇住宅小区配套幼儿园时，选址应符合</w:t>
      </w:r>
    </w:p>
    <w:p>
      <w:pPr>
        <w:pStyle w:val="3"/>
        <w:spacing w:before="149" w:line="328" w:lineRule="auto"/>
        <w:ind w:left="108" w:right="292"/>
        <w:rPr>
          <w:rFonts w:hint="eastAsia"/>
          <w:lang w:eastAsia="zh-CN"/>
        </w:rPr>
      </w:pPr>
      <w:r>
        <w:rPr>
          <w:spacing w:val="-18"/>
          <w:w w:val="95"/>
        </w:rPr>
        <w:t>当地幼儿园布局规划要求。幼儿园应建设在日照充足、交通方便、</w:t>
      </w:r>
      <w:r>
        <w:rPr>
          <w:spacing w:val="1"/>
          <w:w w:val="95"/>
        </w:rPr>
        <w:t xml:space="preserve"> </w:t>
      </w:r>
      <w:r>
        <w:rPr>
          <w:spacing w:val="-1"/>
        </w:rPr>
        <w:t>场地平整、排水通畅、基础设施完善的宜建地带。必须避开地震</w:t>
      </w:r>
      <w:r>
        <w:rPr>
          <w:spacing w:val="-10"/>
        </w:rPr>
        <w:t>危险地段、可能发生地质灾害和洪水灾害的不安全地带，必须避</w:t>
      </w:r>
      <w:r>
        <w:t>开输油、输气管道和高压供电走廊，必须避开各类污染源地带。幼儿园出入口不应直接设置在城市干道一侧</w:t>
      </w:r>
      <w:r>
        <w:rPr>
          <w:rFonts w:hint="eastAsia"/>
          <w:lang w:eastAsia="zh-CN"/>
        </w:rPr>
        <w:t>。</w:t>
      </w:r>
    </w:p>
    <w:p>
      <w:pPr>
        <w:pStyle w:val="3"/>
        <w:spacing w:before="149" w:line="328" w:lineRule="auto"/>
        <w:ind w:left="108" w:right="292" w:firstLine="760" w:firstLineChars="400"/>
      </w:pPr>
      <w:r>
        <w:rPr>
          <w:rFonts w:hint="eastAsia" w:ascii="黑体" w:eastAsia="黑体"/>
          <w:spacing w:val="-57"/>
          <w:w w:val="95"/>
        </w:rPr>
        <w:t>六、</w:t>
      </w:r>
      <w:r>
        <w:rPr>
          <w:w w:val="95"/>
        </w:rPr>
        <w:t>开发企业应为其配建的城镇住宅小区配套幼儿园设置独</w:t>
      </w:r>
      <w:r>
        <w:rPr>
          <w:spacing w:val="1"/>
          <w:w w:val="95"/>
        </w:rPr>
        <w:t xml:space="preserve"> </w:t>
      </w:r>
      <w:r>
        <w:rPr>
          <w:spacing w:val="-10"/>
          <w:w w:val="95"/>
        </w:rPr>
        <w:t>立院落和出入口。园区主出入口处应同步建设警务室。开发企业</w:t>
      </w:r>
      <w:r>
        <w:rPr>
          <w:spacing w:val="-3"/>
          <w:w w:val="95"/>
        </w:rPr>
        <w:t xml:space="preserve">应根据幼儿园总平面设计合理布置，生均建筑面积不少于 </w:t>
      </w:r>
      <w:r>
        <w:rPr>
          <w:w w:val="95"/>
        </w:rPr>
        <w:t>6</w:t>
      </w:r>
      <w:r>
        <w:rPr>
          <w:spacing w:val="40"/>
          <w:w w:val="95"/>
        </w:rPr>
        <w:t xml:space="preserve"> 平方</w:t>
      </w:r>
      <w:r>
        <w:rPr>
          <w:spacing w:val="-1"/>
          <w:w w:val="95"/>
        </w:rPr>
        <w:t xml:space="preserve">米，活动室生均使用面积不少于 </w:t>
      </w:r>
      <w:r>
        <w:rPr>
          <w:w w:val="95"/>
        </w:rPr>
        <w:t>2 平方米。共用活动场地应设置</w:t>
      </w:r>
      <w:r>
        <w:t>游戏器具、沙坑、30 米跑道等。室外给排水、供气、供热、供电、通信、网络等管线宜暗设，基地周围应设围护设施。</w:t>
      </w:r>
    </w:p>
    <w:p>
      <w:pPr>
        <w:pStyle w:val="3"/>
        <w:spacing w:line="328" w:lineRule="auto"/>
        <w:ind w:left="108" w:right="452" w:firstLine="640"/>
        <w:jc w:val="both"/>
      </w:pPr>
      <w:r>
        <w:rPr>
          <w:rFonts w:hint="eastAsia" w:ascii="黑体" w:eastAsia="黑体"/>
          <w:spacing w:val="-57"/>
          <w:w w:val="95"/>
        </w:rPr>
        <w:t>七、</w:t>
      </w:r>
      <w:r>
        <w:rPr>
          <w:w w:val="95"/>
        </w:rPr>
        <w:t>城镇住宅小区配套幼儿园建筑结构应符合国家现行建筑</w:t>
      </w:r>
      <w:r>
        <w:rPr>
          <w:spacing w:val="1"/>
          <w:w w:val="95"/>
        </w:rPr>
        <w:t xml:space="preserve"> </w:t>
      </w:r>
      <w:r>
        <w:rPr>
          <w:spacing w:val="-10"/>
          <w:w w:val="95"/>
        </w:rPr>
        <w:t>抗震设计规范要求，并符合建筑设计防火规范要求，班级活动单</w:t>
      </w:r>
      <w:r>
        <w:rPr>
          <w:spacing w:val="1"/>
          <w:w w:val="95"/>
        </w:rPr>
        <w:t xml:space="preserve"> </w:t>
      </w:r>
      <w:r>
        <w:rPr>
          <w:spacing w:val="-2"/>
          <w:w w:val="95"/>
        </w:rPr>
        <w:t xml:space="preserve">元应建设成教卫寝一体活动单元。应设置不低于 </w:t>
      </w:r>
      <w:r>
        <w:rPr>
          <w:w w:val="95"/>
        </w:rPr>
        <w:t>2</w:t>
      </w:r>
      <w:r>
        <w:rPr>
          <w:spacing w:val="16"/>
          <w:w w:val="95"/>
        </w:rPr>
        <w:t xml:space="preserve"> 间分别能容纳</w:t>
      </w:r>
      <w:r>
        <w:rPr>
          <w:w w:val="95"/>
        </w:rPr>
        <w:t>2</w:t>
      </w:r>
      <w:r>
        <w:rPr>
          <w:spacing w:val="2"/>
          <w:w w:val="95"/>
        </w:rPr>
        <w:t xml:space="preserve"> 个标准班型以上幼儿的综合活动室和 </w:t>
      </w:r>
      <w:r>
        <w:rPr>
          <w:w w:val="95"/>
        </w:rPr>
        <w:t>3-5</w:t>
      </w:r>
      <w:r>
        <w:rPr>
          <w:spacing w:val="2"/>
          <w:w w:val="95"/>
        </w:rPr>
        <w:t xml:space="preserve"> 个必备功能室。应设</w:t>
      </w:r>
      <w:r>
        <w:rPr>
          <w:w w:val="95"/>
        </w:rPr>
        <w:t>置满足需要的门厅和晨检室。室内回廊、内天井、阳台等处应设</w:t>
      </w:r>
      <w:r>
        <w:rPr>
          <w:spacing w:val="1"/>
          <w:w w:val="95"/>
        </w:rPr>
        <w:t xml:space="preserve"> </w:t>
      </w:r>
      <w:r>
        <w:t>置防护栏杆，幼儿使用的楼梯应采取防止幼儿攀滑措施。</w:t>
      </w:r>
    </w:p>
    <w:p>
      <w:pPr>
        <w:pStyle w:val="3"/>
        <w:spacing w:line="328" w:lineRule="auto"/>
        <w:ind w:left="108" w:right="292" w:firstLine="640"/>
      </w:pPr>
      <w:r>
        <w:rPr>
          <w:rFonts w:hint="eastAsia" w:ascii="黑体" w:eastAsia="黑体"/>
          <w:spacing w:val="-57"/>
        </w:rPr>
        <w:t>八、</w:t>
      </w:r>
      <w:r>
        <w:t>开发企业在建设城镇住宅小区配套幼儿园活动单元和综</w:t>
      </w:r>
      <w:r>
        <w:rPr>
          <w:spacing w:val="-1"/>
        </w:rPr>
        <w:t>合活动室时要采用柔性易清洁的楼地面，门厅、走道、楼梯、衣</w:t>
      </w:r>
      <w:r>
        <w:rPr>
          <w:spacing w:val="-19"/>
          <w:w w:val="95"/>
        </w:rPr>
        <w:t>帽储藏室、卫生间等要采用防滑楼地面。幼儿活动用房的内墙面、</w:t>
      </w:r>
      <w:r>
        <w:rPr>
          <w:spacing w:val="1"/>
          <w:w w:val="95"/>
        </w:rPr>
        <w:t xml:space="preserve"> </w:t>
      </w:r>
      <w:r>
        <w:rPr>
          <w:spacing w:val="-10"/>
        </w:rPr>
        <w:t>顶面粉刷应符合环保要求。厨房应单独设置且不得设在幼儿活动</w:t>
      </w:r>
      <w:r>
        <w:rPr>
          <w:spacing w:val="-11"/>
        </w:rPr>
        <w:t>用房的下部，厨房平面布置应符合食品安全规定，满足使用功能</w:t>
      </w:r>
      <w:r>
        <w:rPr>
          <w:spacing w:val="-1"/>
        </w:rPr>
        <w:t>要求，设置防火门，达到消防验收标准。保健观察室、隔离室的</w:t>
      </w:r>
      <w:r>
        <w:t>设置应符合幼儿园卫生保健管理办法和卫生健康部门的要求。</w:t>
      </w:r>
    </w:p>
    <w:p>
      <w:pPr>
        <w:pStyle w:val="3"/>
        <w:spacing w:line="328" w:lineRule="auto"/>
        <w:ind w:left="108" w:right="292" w:firstLine="640"/>
      </w:pPr>
      <w:r>
        <w:rPr>
          <w:rFonts w:hint="eastAsia" w:ascii="黑体" w:eastAsia="黑体"/>
          <w:spacing w:val="-29"/>
        </w:rPr>
        <w:t>九、</w:t>
      </w:r>
      <w:r>
        <w:rPr>
          <w:spacing w:val="-3"/>
        </w:rPr>
        <w:t>开发企业在建设城镇住宅小区配套幼儿园时，消火栓系</w:t>
      </w:r>
      <w:r>
        <w:rPr>
          <w:w w:val="95"/>
        </w:rPr>
        <w:t>统、自动喷水灭火系统及气体系统灭火设计、消防应急指示灯、</w:t>
      </w:r>
      <w:r>
        <w:rPr>
          <w:spacing w:val="1"/>
          <w:w w:val="95"/>
        </w:rPr>
        <w:t xml:space="preserve"> </w:t>
      </w:r>
      <w:r>
        <w:rPr>
          <w:spacing w:val="-9"/>
        </w:rPr>
        <w:t>消防应急照明灯等，应符合国家现行有关防火标准规定。幼儿园</w:t>
      </w:r>
      <w:r>
        <w:rPr>
          <w:spacing w:val="-2"/>
        </w:rPr>
        <w:t>园区大门、围墙四周、建筑物出入口、楼梯间、走廊等应设置视</w:t>
      </w:r>
      <w:r>
        <w:rPr>
          <w:spacing w:val="-10"/>
        </w:rPr>
        <w:t>频安防监控系统，幼儿园周界宜设置入侵报警系统、电子巡查系</w:t>
      </w:r>
      <w:r>
        <w:t>统。</w:t>
      </w:r>
    </w:p>
    <w:p>
      <w:pPr>
        <w:pStyle w:val="3"/>
        <w:spacing w:before="150" w:line="328" w:lineRule="auto"/>
        <w:ind w:left="214" w:right="447" w:firstLine="480"/>
        <w:jc w:val="both"/>
      </w:pPr>
      <w:r>
        <w:rPr>
          <w:rFonts w:hint="eastAsia" w:ascii="黑体" w:eastAsia="黑体"/>
          <w:w w:val="95"/>
        </w:rPr>
        <w:t>十、</w:t>
      </w:r>
      <w:r>
        <w:rPr>
          <w:w w:val="95"/>
        </w:rPr>
        <w:t>财政、规划和自然资源、住建部门应根据职能分工监督</w:t>
      </w:r>
      <w:r>
        <w:rPr>
          <w:spacing w:val="1"/>
          <w:w w:val="95"/>
        </w:rPr>
        <w:t xml:space="preserve"> </w:t>
      </w:r>
      <w:r>
        <w:rPr>
          <w:w w:val="95"/>
        </w:rPr>
        <w:t>管理配套幼儿园的规划、建设、移交和使用。发改部门要参与</w:t>
      </w:r>
      <w:bookmarkStart w:id="0" w:name="_GoBack"/>
      <w:bookmarkEnd w:id="0"/>
      <w:r>
        <w:rPr>
          <w:w w:val="95"/>
        </w:rPr>
        <w:t>小区配套幼儿园建设项目规划布局，对需要补建、改建、新建的项目按程序及时办理审批、核准或备案手续。教育部门按国家和省、市政府规定，要全程参与建设用地审批、配套幼儿园规划审定、建设项目实施、工程验收、园舍移交等各个环节。政务服务和数字化建设管理部门配合教育部门指导协调有关部</w:t>
      </w:r>
      <w:r>
        <w:t>门做好各环节工作。</w:t>
      </w:r>
    </w:p>
    <w:p>
      <w:pPr>
        <w:pStyle w:val="3"/>
        <w:spacing w:line="397" w:lineRule="exact"/>
        <w:ind w:left="749"/>
      </w:pPr>
      <w:r>
        <w:rPr>
          <w:rFonts w:hint="eastAsia" w:ascii="黑体" w:eastAsia="黑体"/>
          <w:spacing w:val="-20"/>
        </w:rPr>
        <w:t>十一、</w:t>
      </w:r>
      <w:r>
        <w:rPr>
          <w:spacing w:val="-3"/>
        </w:rPr>
        <w:t>住宅小区配套幼儿园作为重要的公共教育资源，其规</w:t>
      </w:r>
    </w:p>
    <w:p>
      <w:pPr>
        <w:pStyle w:val="3"/>
        <w:spacing w:before="149" w:line="328" w:lineRule="auto"/>
        <w:ind w:left="108" w:right="337"/>
      </w:pPr>
      <w:r>
        <w:rPr>
          <w:spacing w:val="-7"/>
        </w:rPr>
        <w:t>划建设应纳入城镇公共设施建设规划。城镇住宅小区配套幼儿园</w:t>
      </w:r>
      <w:r>
        <w:rPr>
          <w:spacing w:val="-2"/>
        </w:rPr>
        <w:t>应与住宅小区首期项目同步规划、同步设计、同步建设、同步验收、同步投入使用。统一规划、分期建设的小区，要保证配套幼</w:t>
      </w:r>
      <w:r>
        <w:rPr>
          <w:w w:val="95"/>
        </w:rPr>
        <w:t>儿园优先建设、优先交付使用。对存在配套幼儿园缓建、缩建、</w:t>
      </w:r>
      <w:r>
        <w:rPr>
          <w:spacing w:val="1"/>
          <w:w w:val="95"/>
        </w:rPr>
        <w:t xml:space="preserve"> </w:t>
      </w:r>
      <w:r>
        <w:rPr>
          <w:spacing w:val="-2"/>
        </w:rPr>
        <w:t>停建、不建和建而不交等问题的开发小区，在整改到位之前，不</w:t>
      </w:r>
      <w:r>
        <w:t>得办理竣工验收。</w:t>
      </w:r>
    </w:p>
    <w:p>
      <w:pPr>
        <w:pStyle w:val="3"/>
        <w:spacing w:line="328" w:lineRule="auto"/>
        <w:ind w:left="108" w:right="337" w:firstLine="640"/>
      </w:pPr>
      <w:r>
        <w:rPr>
          <w:rFonts w:hint="eastAsia" w:ascii="黑体" w:eastAsia="黑体"/>
          <w:spacing w:val="-39"/>
        </w:rPr>
        <w:t>十二、</w:t>
      </w:r>
      <w:r>
        <w:t>城镇住宅小区配套幼儿园应以国土空间规划和专项规</w:t>
      </w:r>
      <w:r>
        <w:rPr>
          <w:w w:val="95"/>
        </w:rPr>
        <w:t>划为依据进行建设。但国家规定服务半径内无配套幼儿园用地，</w:t>
      </w:r>
      <w:r>
        <w:rPr>
          <w:spacing w:val="1"/>
          <w:w w:val="95"/>
        </w:rPr>
        <w:t xml:space="preserve"> </w:t>
      </w:r>
      <w:r>
        <w:rPr>
          <w:spacing w:val="-5"/>
        </w:rPr>
        <w:t>且国土空间规划管理单元内幼儿园用地存在缺口的，应在规划条</w:t>
      </w:r>
      <w:r>
        <w:rPr>
          <w:spacing w:val="-8"/>
        </w:rPr>
        <w:t>件中规划相应规模的幼儿园用地。城镇住宅小区配套幼儿园建设</w:t>
      </w:r>
      <w:r>
        <w:t>用地一律采取划拨方式提供。</w:t>
      </w:r>
    </w:p>
    <w:p>
      <w:pPr>
        <w:pStyle w:val="3"/>
      </w:pPr>
      <w:r>
        <w:rPr>
          <w:rFonts w:hint="eastAsia" w:ascii="黑体" w:eastAsia="黑体"/>
          <w:spacing w:val="-39"/>
          <w:lang w:val="en-US" w:eastAsia="zh-CN"/>
        </w:rPr>
        <w:t xml:space="preserve">      </w:t>
      </w:r>
      <w:r>
        <w:rPr>
          <w:rFonts w:hint="eastAsia" w:ascii="黑体" w:eastAsia="黑体"/>
          <w:spacing w:val="-39"/>
        </w:rPr>
        <w:t>十三、</w:t>
      </w:r>
      <w:r>
        <w:t>规划和自然资源部门在进行住宅性质的国有土地使用</w:t>
      </w:r>
      <w:r>
        <w:rPr>
          <w:spacing w:val="-12"/>
          <w:w w:val="95"/>
        </w:rPr>
        <w:t>权出让前，应当明确配套幼儿园产权归属所在地教育部门的要求</w:t>
      </w:r>
      <w:r>
        <w:rPr>
          <w:spacing w:val="1"/>
          <w:w w:val="95"/>
        </w:rPr>
        <w:t xml:space="preserve"> </w:t>
      </w:r>
      <w:r>
        <w:rPr>
          <w:spacing w:val="-6"/>
          <w:w w:val="95"/>
        </w:rPr>
        <w:t>和开发企业相关违约责任及处罚办法等事项，并报市土地收购储</w:t>
      </w:r>
      <w:r>
        <w:rPr>
          <w:spacing w:val="1"/>
          <w:w w:val="95"/>
        </w:rPr>
        <w:t xml:space="preserve"> </w:t>
      </w:r>
      <w:r>
        <w:t>备招标拍卖委员会审定。</w:t>
      </w:r>
    </w:p>
    <w:p>
      <w:pPr>
        <w:pStyle w:val="3"/>
        <w:spacing w:line="328" w:lineRule="auto"/>
        <w:ind w:left="108" w:right="450" w:firstLine="640"/>
        <w:jc w:val="both"/>
      </w:pPr>
      <w:r>
        <w:rPr>
          <w:rFonts w:hint="eastAsia" w:ascii="黑体" w:eastAsia="黑体"/>
          <w:spacing w:val="-20"/>
          <w:w w:val="95"/>
        </w:rPr>
        <w:t>十四、</w:t>
      </w:r>
      <w:r>
        <w:rPr>
          <w:spacing w:val="-5"/>
          <w:w w:val="95"/>
        </w:rPr>
        <w:t>开发企业在申报建设方案时，应征求当地教育部门对</w:t>
      </w:r>
      <w:r>
        <w:rPr>
          <w:spacing w:val="1"/>
          <w:w w:val="95"/>
        </w:rPr>
        <w:t xml:space="preserve"> </w:t>
      </w:r>
      <w:r>
        <w:rPr>
          <w:spacing w:val="-6"/>
          <w:w w:val="95"/>
        </w:rPr>
        <w:t>配套幼儿园建设方案的意见并经书面确认。有关部门在相关审批</w:t>
      </w:r>
      <w:r>
        <w:rPr>
          <w:spacing w:val="1"/>
          <w:w w:val="95"/>
        </w:rPr>
        <w:t xml:space="preserve"> </w:t>
      </w:r>
      <w:r>
        <w:rPr>
          <w:spacing w:val="-12"/>
          <w:w w:val="95"/>
        </w:rPr>
        <w:t>时，要严格查验和落实教育部门对开发企业建设方案出具的配套</w:t>
      </w:r>
      <w:r>
        <w:rPr>
          <w:spacing w:val="1"/>
          <w:w w:val="95"/>
        </w:rPr>
        <w:t xml:space="preserve"> </w:t>
      </w:r>
      <w:r>
        <w:rPr>
          <w:spacing w:val="-11"/>
          <w:w w:val="95"/>
        </w:rPr>
        <w:t>园建设的确认意见。规划和自然资源部门实施的建设工程规划许</w:t>
      </w:r>
      <w:r>
        <w:rPr>
          <w:spacing w:val="1"/>
          <w:w w:val="95"/>
        </w:rPr>
        <w:t xml:space="preserve"> </w:t>
      </w:r>
      <w:r>
        <w:t>可证审批前，由教育部门对配套幼儿园规划方案提出意见。</w:t>
      </w:r>
    </w:p>
    <w:p>
      <w:pPr>
        <w:pStyle w:val="3"/>
        <w:spacing w:line="328" w:lineRule="auto"/>
        <w:ind w:left="108" w:right="452" w:firstLine="640"/>
        <w:jc w:val="both"/>
      </w:pPr>
      <w:r>
        <w:rPr>
          <w:rFonts w:hint="eastAsia" w:ascii="黑体" w:eastAsia="黑体"/>
          <w:spacing w:val="-39"/>
          <w:w w:val="95"/>
        </w:rPr>
        <w:t>十五、</w:t>
      </w:r>
      <w:r>
        <w:rPr>
          <w:w w:val="95"/>
        </w:rPr>
        <w:t>开发企业须按照国有土地使用权出让合同约定的配套</w:t>
      </w:r>
      <w:r>
        <w:rPr>
          <w:spacing w:val="1"/>
          <w:w w:val="95"/>
        </w:rPr>
        <w:t xml:space="preserve"> </w:t>
      </w:r>
      <w:r>
        <w:rPr>
          <w:w w:val="95"/>
        </w:rPr>
        <w:t>幼儿园的建设位置、用地面积、园舍朝向、建设规模、标准要求</w:t>
      </w:r>
      <w:r>
        <w:rPr>
          <w:spacing w:val="1"/>
          <w:w w:val="95"/>
        </w:rPr>
        <w:t xml:space="preserve"> </w:t>
      </w:r>
      <w:r>
        <w:rPr>
          <w:spacing w:val="-5"/>
          <w:w w:val="95"/>
        </w:rPr>
        <w:t>及规划和自然资源部门批准的修建性详细规划进行建设。开发企</w:t>
      </w:r>
      <w:r>
        <w:rPr>
          <w:spacing w:val="1"/>
          <w:w w:val="95"/>
        </w:rPr>
        <w:t xml:space="preserve"> </w:t>
      </w:r>
      <w:r>
        <w:rPr>
          <w:spacing w:val="-7"/>
          <w:w w:val="95"/>
        </w:rPr>
        <w:t>业不得擅自缩减配套幼儿园的用地、建设规模和改变、降低配套</w:t>
      </w:r>
      <w:r>
        <w:rPr>
          <w:spacing w:val="1"/>
          <w:w w:val="95"/>
        </w:rPr>
        <w:t xml:space="preserve"> </w:t>
      </w:r>
      <w:r>
        <w:t>幼儿园建设标准要求。</w:t>
      </w:r>
    </w:p>
    <w:p>
      <w:pPr>
        <w:pStyle w:val="3"/>
        <w:spacing w:line="328" w:lineRule="auto"/>
        <w:ind w:left="108" w:right="450" w:firstLine="640"/>
        <w:jc w:val="both"/>
      </w:pPr>
      <w:r>
        <w:rPr>
          <w:rFonts w:hint="eastAsia" w:ascii="黑体" w:eastAsia="黑体"/>
          <w:spacing w:val="-20"/>
          <w:w w:val="95"/>
        </w:rPr>
        <w:t>十六、</w:t>
      </w:r>
      <w:r>
        <w:rPr>
          <w:spacing w:val="-5"/>
          <w:w w:val="95"/>
        </w:rPr>
        <w:t>经批准预售或现售的住宅项目，开发企业应在销售现</w:t>
      </w:r>
      <w:r>
        <w:rPr>
          <w:spacing w:val="1"/>
          <w:w w:val="95"/>
        </w:rPr>
        <w:t xml:space="preserve"> </w:t>
      </w:r>
      <w:r>
        <w:rPr>
          <w:w w:val="95"/>
        </w:rPr>
        <w:t>场对规划实施的配套幼儿园的位置、面积、标准学位数量、产权</w:t>
      </w:r>
      <w:r>
        <w:rPr>
          <w:spacing w:val="1"/>
          <w:w w:val="95"/>
        </w:rPr>
        <w:t xml:space="preserve"> </w:t>
      </w:r>
      <w:r>
        <w:t>归属及竣工时间等内容进行准确公示。</w:t>
      </w:r>
    </w:p>
    <w:p>
      <w:pPr>
        <w:pStyle w:val="3"/>
        <w:spacing w:line="328" w:lineRule="auto"/>
        <w:ind w:left="108" w:right="337" w:firstLine="640"/>
      </w:pPr>
      <w:r>
        <w:rPr>
          <w:rFonts w:hint="eastAsia" w:ascii="黑体" w:eastAsia="黑体"/>
          <w:spacing w:val="-39"/>
        </w:rPr>
        <w:t>十七、</w:t>
      </w:r>
      <w:r>
        <w:t>住房和城乡建设部门应会同教育部门对开发企业配建</w:t>
      </w:r>
      <w:r>
        <w:rPr>
          <w:w w:val="95"/>
        </w:rPr>
        <w:t>配套幼儿园在勘察设计、招投标、建设规模和质量、安全生产、</w:t>
      </w:r>
      <w:r>
        <w:rPr>
          <w:spacing w:val="1"/>
          <w:w w:val="95"/>
        </w:rPr>
        <w:t xml:space="preserve"> </w:t>
      </w:r>
      <w:r>
        <w:rPr>
          <w:spacing w:val="-2"/>
        </w:rPr>
        <w:t>建筑节能、建筑材料环保、建设工期、主体工程竣工验收等方面</w:t>
      </w:r>
      <w:r>
        <w:t>进行全过程动态监管。</w:t>
      </w:r>
    </w:p>
    <w:p>
      <w:pPr>
        <w:pStyle w:val="3"/>
        <w:spacing w:line="326" w:lineRule="auto"/>
        <w:ind w:left="108" w:right="452" w:firstLine="640"/>
      </w:pPr>
      <w:r>
        <w:rPr>
          <w:rFonts w:hint="eastAsia" w:ascii="黑体" w:eastAsia="黑体"/>
          <w:spacing w:val="-39"/>
          <w:w w:val="95"/>
        </w:rPr>
        <w:t>十八、</w:t>
      </w:r>
      <w:r>
        <w:rPr>
          <w:w w:val="95"/>
        </w:rPr>
        <w:t>城镇住宅小区配套幼儿园园舍建筑通过工程质量竣工</w:t>
      </w:r>
      <w:r>
        <w:rPr>
          <w:spacing w:val="1"/>
          <w:w w:val="95"/>
        </w:rPr>
        <w:t xml:space="preserve"> </w:t>
      </w:r>
      <w:r>
        <w:rPr>
          <w:spacing w:val="-11"/>
          <w:w w:val="95"/>
        </w:rPr>
        <w:t>验收、规划核实及消防验收或消防备案，由住房和城乡建设部门</w:t>
      </w:r>
      <w:r>
        <w:rPr>
          <w:spacing w:val="-9"/>
          <w:w w:val="95"/>
        </w:rPr>
        <w:t>验收合格并出具书面意见后，再予以办理该开发小区住宅工程综</w:t>
      </w:r>
      <w:r>
        <w:rPr>
          <w:spacing w:val="1"/>
          <w:w w:val="95"/>
        </w:rPr>
        <w:t xml:space="preserve"> </w:t>
      </w:r>
      <w:r>
        <w:rPr>
          <w:spacing w:val="-10"/>
          <w:w w:val="95"/>
        </w:rPr>
        <w:t>合验收的相关手续。实行工程竣工联合验收的工程，应通过工程</w:t>
      </w:r>
      <w:r>
        <w:rPr>
          <w:spacing w:val="1"/>
          <w:w w:val="95"/>
        </w:rPr>
        <w:t xml:space="preserve"> </w:t>
      </w:r>
      <w:r>
        <w:rPr>
          <w:spacing w:val="-11"/>
          <w:w w:val="95"/>
        </w:rPr>
        <w:t>竣工联合验收。吉林市教育局参与全市配套幼儿园竣工联合验收</w:t>
      </w:r>
      <w:r>
        <w:rPr>
          <w:spacing w:val="1"/>
          <w:w w:val="95"/>
        </w:rPr>
        <w:t xml:space="preserve"> </w:t>
      </w:r>
      <w:r>
        <w:rPr>
          <w:w w:val="95"/>
        </w:rPr>
        <w:t>工作。各县（市）区教育局与吉林市教育局共同参与本地配套幼</w:t>
      </w:r>
      <w:r>
        <w:rPr>
          <w:spacing w:val="1"/>
          <w:w w:val="95"/>
        </w:rPr>
        <w:t xml:space="preserve"> </w:t>
      </w:r>
      <w:r>
        <w:rPr>
          <w:w w:val="95"/>
        </w:rPr>
        <w:t>儿园竣工联合验收工作。各县（市）住房和城乡建设局应于每年</w:t>
      </w:r>
      <w:r>
        <w:rPr>
          <w:spacing w:val="1"/>
          <w:w w:val="95"/>
        </w:rPr>
        <w:t xml:space="preserve"> </w:t>
      </w:r>
      <w:r>
        <w:rPr>
          <w:w w:val="95"/>
        </w:rPr>
        <w:t>12</w:t>
      </w:r>
      <w:r>
        <w:rPr>
          <w:spacing w:val="34"/>
          <w:w w:val="95"/>
        </w:rPr>
        <w:t xml:space="preserve"> 月 </w:t>
      </w:r>
      <w:r>
        <w:rPr>
          <w:w w:val="95"/>
        </w:rPr>
        <w:t>30 日前，会同当地教育局共同将本地本年度竣工验收的所</w:t>
      </w:r>
      <w:r>
        <w:rPr>
          <w:spacing w:val="-6"/>
          <w:w w:val="95"/>
        </w:rPr>
        <w:t>有开发项目是否含配建幼儿园情况的清单，同时报吉林市住房和</w:t>
      </w:r>
      <w:r>
        <w:rPr>
          <w:spacing w:val="1"/>
          <w:w w:val="95"/>
        </w:rPr>
        <w:t xml:space="preserve"> </w:t>
      </w:r>
      <w:r>
        <w:rPr>
          <w:spacing w:val="-6"/>
          <w:w w:val="95"/>
        </w:rPr>
        <w:t>城乡建设局和吉林市教育局备案。各地按时按要求报送情况，纳</w:t>
      </w:r>
      <w:r>
        <w:rPr>
          <w:spacing w:val="1"/>
          <w:w w:val="95"/>
        </w:rPr>
        <w:t xml:space="preserve"> </w:t>
      </w:r>
      <w:r>
        <w:t>入市政府有关部门对县（市）区相关工作年度考核项目。</w:t>
      </w:r>
    </w:p>
    <w:p>
      <w:pPr>
        <w:pStyle w:val="3"/>
        <w:spacing w:line="395" w:lineRule="exact"/>
        <w:ind w:left="749"/>
      </w:pPr>
      <w:r>
        <w:rPr>
          <w:rFonts w:hint="eastAsia" w:ascii="黑体" w:eastAsia="黑体"/>
          <w:spacing w:val="-39"/>
        </w:rPr>
        <w:t>十九、</w:t>
      </w:r>
      <w:r>
        <w:t>配建城镇住宅小区配套幼儿园是国有土地使用权出让</w:t>
      </w:r>
    </w:p>
    <w:p>
      <w:pPr>
        <w:pStyle w:val="3"/>
        <w:spacing w:before="150" w:line="328" w:lineRule="auto"/>
        <w:ind w:left="108" w:right="337"/>
      </w:pPr>
      <w:r>
        <w:rPr>
          <w:w w:val="95"/>
        </w:rPr>
        <w:t>的附条件行为，城镇住宅小区配套幼儿园属国有公共教育资产。</w:t>
      </w:r>
      <w:r>
        <w:rPr>
          <w:spacing w:val="1"/>
          <w:w w:val="95"/>
        </w:rPr>
        <w:t xml:space="preserve"> </w:t>
      </w:r>
      <w:r>
        <w:rPr>
          <w:spacing w:val="-6"/>
        </w:rPr>
        <w:t>城镇住宅小区配套幼儿园园舍经验收合格后，按国有土地使用权</w:t>
      </w:r>
      <w:r>
        <w:rPr>
          <w:spacing w:val="-2"/>
        </w:rPr>
        <w:t>划拨决定书约定，经所在地教育部门申请、开发企业配合，不动</w:t>
      </w:r>
      <w:r>
        <w:t>产登记机构依据建设工程规划许可证、国有土地使用权出让合</w:t>
      </w:r>
      <w:r>
        <w:rPr>
          <w:spacing w:val="1"/>
        </w:rPr>
        <w:t xml:space="preserve"> </w:t>
      </w:r>
      <w:r>
        <w:rPr>
          <w:spacing w:val="-11"/>
        </w:rPr>
        <w:t>同、国有建设用地划拨决定书和相关政府部门批复、教育部门对建设方案的确认意见等，将幼儿园产权直接办理在所在地教育部</w:t>
      </w:r>
      <w:r>
        <w:rPr>
          <w:spacing w:val="-10"/>
        </w:rPr>
        <w:t>门名下。幼儿园产权先于整个项目的首次登记或一并办理。开发</w:t>
      </w:r>
      <w:r>
        <w:t>企业须负责提供办理不动产首次登记的各项相关手续。</w:t>
      </w:r>
    </w:p>
    <w:p>
      <w:pPr>
        <w:pStyle w:val="3"/>
        <w:spacing w:line="397" w:lineRule="exact"/>
        <w:ind w:left="749"/>
      </w:pPr>
      <w:r>
        <w:rPr>
          <w:rFonts w:hint="eastAsia" w:ascii="黑体" w:eastAsia="黑体"/>
          <w:w w:val="95"/>
        </w:rPr>
        <w:t>二十、</w:t>
      </w:r>
      <w:r>
        <w:rPr>
          <w:w w:val="95"/>
        </w:rPr>
        <w:t>开发企业应在配套幼儿园项目竣工验收合格之日起</w:t>
      </w:r>
    </w:p>
    <w:p>
      <w:pPr>
        <w:pStyle w:val="3"/>
        <w:spacing w:before="54" w:line="326" w:lineRule="auto"/>
        <w:ind w:left="108" w:right="448"/>
      </w:pPr>
      <w:r>
        <w:t>30 天内，向国有土地使用权划拨决定书指定的教育部门提交书</w:t>
      </w:r>
      <w:r>
        <w:rPr>
          <w:spacing w:val="-8"/>
          <w:w w:val="95"/>
        </w:rPr>
        <w:t>面移交报告书和移交材料。移交材料包括项目审批和立项、用地</w:t>
      </w:r>
      <w:r>
        <w:rPr>
          <w:spacing w:val="1"/>
          <w:w w:val="95"/>
        </w:rPr>
        <w:t xml:space="preserve"> </w:t>
      </w:r>
      <w:r>
        <w:rPr>
          <w:spacing w:val="-12"/>
          <w:w w:val="95"/>
        </w:rPr>
        <w:t>审批和规划、建筑审查有关文件、教育部门对建设方案的确认意</w:t>
      </w:r>
      <w:r>
        <w:rPr>
          <w:w w:val="95"/>
        </w:rPr>
        <w:t>见、相关单项（栋）的建设图纸资料、建筑施工资料、各相关专</w:t>
      </w:r>
      <w:r>
        <w:rPr>
          <w:spacing w:val="1"/>
          <w:w w:val="95"/>
        </w:rPr>
        <w:t xml:space="preserve"> </w:t>
      </w:r>
      <w:r>
        <w:t>项设施的图纸资料及项目申报、批复、验收等有关文件。</w:t>
      </w:r>
    </w:p>
    <w:p>
      <w:pPr>
        <w:pStyle w:val="3"/>
        <w:spacing w:before="6" w:line="328" w:lineRule="auto"/>
        <w:ind w:left="108" w:right="452" w:firstLine="640"/>
        <w:jc w:val="both"/>
      </w:pPr>
      <w:r>
        <w:rPr>
          <w:rFonts w:hint="eastAsia" w:ascii="黑体" w:eastAsia="黑体"/>
          <w:spacing w:val="-29"/>
          <w:w w:val="95"/>
        </w:rPr>
        <w:t>二十一、</w:t>
      </w:r>
      <w:r>
        <w:rPr>
          <w:w w:val="95"/>
        </w:rPr>
        <w:t>教育部门收到开发企业移交报告书后对移交项目完</w:t>
      </w:r>
      <w:r>
        <w:rPr>
          <w:spacing w:val="1"/>
          <w:w w:val="95"/>
        </w:rPr>
        <w:t xml:space="preserve"> </w:t>
      </w:r>
      <w:r>
        <w:rPr>
          <w:spacing w:val="-10"/>
          <w:w w:val="95"/>
        </w:rPr>
        <w:t>成情况进行核实，向开发企业书面反馈接收意见。移交材料符合</w:t>
      </w:r>
      <w:r>
        <w:rPr>
          <w:spacing w:val="1"/>
          <w:w w:val="95"/>
        </w:rPr>
        <w:t xml:space="preserve"> </w:t>
      </w:r>
      <w:r>
        <w:rPr>
          <w:spacing w:val="10"/>
          <w:w w:val="95"/>
        </w:rPr>
        <w:t xml:space="preserve">第二十条规定的，在 </w:t>
      </w:r>
      <w:r>
        <w:rPr>
          <w:w w:val="95"/>
        </w:rPr>
        <w:t>15 天内办理移交手续；不符合的，书面通</w:t>
      </w:r>
      <w:r>
        <w:t>知开发企业并限期整改。</w:t>
      </w:r>
    </w:p>
    <w:p>
      <w:pPr>
        <w:pStyle w:val="3"/>
        <w:spacing w:line="328" w:lineRule="auto"/>
        <w:ind w:left="108" w:right="452" w:firstLine="640"/>
        <w:jc w:val="both"/>
      </w:pPr>
      <w:r>
        <w:rPr>
          <w:rFonts w:hint="eastAsia" w:ascii="黑体" w:eastAsia="黑体"/>
          <w:spacing w:val="-29"/>
          <w:w w:val="95"/>
        </w:rPr>
        <w:t>二十二、</w:t>
      </w:r>
      <w:r>
        <w:rPr>
          <w:w w:val="95"/>
        </w:rPr>
        <w:t>开发企业须负责配套幼儿园移交前的园舍建设相关</w:t>
      </w:r>
      <w:r>
        <w:rPr>
          <w:spacing w:val="1"/>
          <w:w w:val="95"/>
        </w:rPr>
        <w:t xml:space="preserve"> </w:t>
      </w:r>
      <w:r>
        <w:rPr>
          <w:spacing w:val="-12"/>
          <w:w w:val="95"/>
        </w:rPr>
        <w:t>安全责任，并承担国家和省、市规定的质量保修期内相应质量保</w:t>
      </w:r>
      <w:r>
        <w:rPr>
          <w:spacing w:val="1"/>
          <w:w w:val="95"/>
        </w:rPr>
        <w:t xml:space="preserve"> </w:t>
      </w:r>
      <w:r>
        <w:t>修责任和维修费用。</w:t>
      </w:r>
    </w:p>
    <w:p>
      <w:pPr>
        <w:pStyle w:val="3"/>
        <w:spacing w:line="328" w:lineRule="auto"/>
        <w:ind w:left="108" w:right="337" w:firstLine="640"/>
      </w:pPr>
      <w:r>
        <w:rPr>
          <w:rFonts w:hint="eastAsia" w:ascii="黑体" w:eastAsia="黑体"/>
          <w:spacing w:val="-29"/>
        </w:rPr>
        <w:t>二十三、</w:t>
      </w:r>
      <w:r>
        <w:t>开发企业依国有土地使用权划拨决定书约定配建配</w:t>
      </w:r>
      <w:r>
        <w:rPr>
          <w:spacing w:val="-8"/>
        </w:rPr>
        <w:t>套幼儿园视同政府投资建设行为，配套幼儿园建设和移交同等享</w:t>
      </w:r>
      <w:r>
        <w:rPr>
          <w:w w:val="95"/>
        </w:rPr>
        <w:t>受政府投资建设幼儿园税费优惠政策。配套幼儿园为自管房产，</w:t>
      </w:r>
      <w:r>
        <w:rPr>
          <w:spacing w:val="1"/>
          <w:w w:val="95"/>
        </w:rPr>
        <w:t xml:space="preserve"> </w:t>
      </w:r>
      <w:r>
        <w:rPr>
          <w:spacing w:val="-10"/>
        </w:rPr>
        <w:t>接收单位接收园舍产权后，自行负责物业管理和质量保修期满后</w:t>
      </w:r>
      <w:r>
        <w:t>的园舍维修。</w:t>
      </w:r>
    </w:p>
    <w:p>
      <w:pPr>
        <w:pStyle w:val="3"/>
        <w:spacing w:line="328" w:lineRule="auto"/>
        <w:ind w:left="108" w:right="337" w:firstLine="640"/>
      </w:pPr>
      <w:r>
        <w:rPr>
          <w:rFonts w:hint="eastAsia" w:ascii="黑体" w:eastAsia="黑体"/>
          <w:spacing w:val="-29"/>
        </w:rPr>
        <w:t>二十四、</w:t>
      </w:r>
      <w:r>
        <w:t>开发企业未按国有土地使用权划拨决定书约定配建</w:t>
      </w:r>
      <w:r>
        <w:rPr>
          <w:spacing w:val="-11"/>
        </w:rPr>
        <w:t>配套幼儿园的，规划和自然资源部门、住建部门按职能依照相关</w:t>
      </w:r>
      <w:r>
        <w:rPr>
          <w:spacing w:val="-9"/>
        </w:rPr>
        <w:t>法律法规追究其违约责任。同时，将开发企业的有关情况纳入诚</w:t>
      </w:r>
      <w:r>
        <w:rPr>
          <w:w w:val="95"/>
        </w:rPr>
        <w:t>信管理体系，与新的开发项目审批和国有建设用地招投标挂钩。</w:t>
      </w:r>
      <w:r>
        <w:rPr>
          <w:spacing w:val="1"/>
          <w:w w:val="95"/>
        </w:rPr>
        <w:t xml:space="preserve"> </w:t>
      </w:r>
      <w:r>
        <w:rPr>
          <w:spacing w:val="-5"/>
        </w:rPr>
        <w:t>对不按规定及标准建设和不按要求及时移交配套幼儿园的，在新</w:t>
      </w:r>
      <w:r>
        <w:t>的开发项目审批和国有建设用地招投标时，依法予以限制。</w:t>
      </w:r>
    </w:p>
    <w:p>
      <w:pPr>
        <w:pStyle w:val="3"/>
        <w:spacing w:line="328" w:lineRule="auto"/>
        <w:ind w:left="108" w:right="337" w:firstLine="640"/>
        <w:rPr>
          <w:spacing w:val="-5"/>
        </w:rPr>
      </w:pPr>
      <w:r>
        <w:rPr>
          <w:rFonts w:hint="eastAsia" w:ascii="黑体" w:hAnsi="黑体" w:eastAsia="黑体" w:cs="黑体"/>
          <w:w w:val="95"/>
        </w:rPr>
        <w:t>二十五、</w:t>
      </w:r>
      <w:r>
        <w:rPr>
          <w:rFonts w:hint="eastAsia" w:ascii="仿宋" w:eastAsia="仿宋"/>
          <w:w w:val="95"/>
        </w:rPr>
        <w:t>县（市）区、开发区</w:t>
      </w:r>
      <w:r>
        <w:rPr>
          <w:w w:val="95"/>
        </w:rPr>
        <w:t>教育部门接管配套幼儿园园舍后，</w:t>
      </w:r>
      <w:r>
        <w:rPr>
          <w:spacing w:val="-5"/>
        </w:rPr>
        <w:t>按照国家和省、市要求，将新建小区或旧区改造配套幼儿园办成公办幼儿园或通过招标方式，委托办成普惠性民办幼儿园， 委托办法应符合相关规定。涉及委托办成普惠性民办幼儿园的情况，教育部门不得将园舍出售或转让。</w:t>
      </w:r>
    </w:p>
    <w:p>
      <w:pPr>
        <w:pStyle w:val="3"/>
        <w:spacing w:line="328" w:lineRule="auto"/>
        <w:ind w:left="108" w:right="337" w:firstLine="640"/>
      </w:pPr>
      <w:r>
        <w:rPr>
          <w:rFonts w:hint="eastAsia" w:ascii="黑体" w:hAnsi="黑体" w:eastAsia="黑体" w:cs="黑体"/>
          <w:spacing w:val="-5"/>
        </w:rPr>
        <w:t>二十六、</w:t>
      </w:r>
      <w:r>
        <w:rPr>
          <w:spacing w:val="-5"/>
        </w:rPr>
        <w:t>对历史原因形成的配套园发生土地出让金情况的， 专项治理中在将配套园向属地政府教育部门</w:t>
      </w:r>
      <w:r>
        <w:t>无偿移交园舍产权</w:t>
      </w:r>
      <w:r>
        <w:rPr>
          <w:spacing w:val="1"/>
        </w:rPr>
        <w:t xml:space="preserve"> </w:t>
      </w:r>
      <w:r>
        <w:t>时，可返还土地出让价款中政府净收益部分或给予相应政策补</w:t>
      </w:r>
      <w:r>
        <w:rPr>
          <w:spacing w:val="1"/>
        </w:rPr>
        <w:t xml:space="preserve"> </w:t>
      </w:r>
      <w:r>
        <w:rPr>
          <w:spacing w:val="-2"/>
        </w:rPr>
        <w:t>贴，并依法将幼儿园土地使用权类型转为“划拨”。老旧小区改</w:t>
      </w:r>
      <w:r>
        <w:t>造涉及的此类问题参照本办法办理。</w:t>
      </w:r>
    </w:p>
    <w:p>
      <w:pPr>
        <w:pStyle w:val="3"/>
        <w:spacing w:line="328" w:lineRule="auto"/>
        <w:ind w:left="108" w:right="450" w:firstLine="640"/>
        <w:jc w:val="both"/>
      </w:pPr>
      <w:r>
        <w:rPr>
          <w:rFonts w:hint="eastAsia" w:ascii="黑体" w:eastAsia="黑体"/>
          <w:w w:val="95"/>
        </w:rPr>
        <w:t>二十七、</w:t>
      </w:r>
      <w:r>
        <w:rPr>
          <w:w w:val="95"/>
        </w:rPr>
        <w:t>住宅小区配套幼儿园系公共设施，属国有资产。未</w:t>
      </w:r>
      <w:r>
        <w:rPr>
          <w:spacing w:val="1"/>
          <w:w w:val="95"/>
        </w:rPr>
        <w:t xml:space="preserve"> </w:t>
      </w:r>
      <w:r>
        <w:rPr>
          <w:w w:val="95"/>
        </w:rPr>
        <w:t>经地方政府和吉林市教育局批准不得擅自拆除、改建、扩建、出</w:t>
      </w:r>
      <w:r>
        <w:rPr>
          <w:spacing w:val="1"/>
          <w:w w:val="95"/>
        </w:rPr>
        <w:t xml:space="preserve"> </w:t>
      </w:r>
      <w:r>
        <w:rPr>
          <w:w w:val="95"/>
        </w:rPr>
        <w:t>租、出售，或用于抵押、转让、改变用途等。对于已建住宅小区</w:t>
      </w:r>
      <w:r>
        <w:rPr>
          <w:spacing w:val="1"/>
          <w:w w:val="95"/>
        </w:rPr>
        <w:t xml:space="preserve"> </w:t>
      </w:r>
      <w:r>
        <w:rPr>
          <w:w w:val="95"/>
        </w:rPr>
        <w:t>未按要求配套建设幼儿园的，要按照国家和省，市政府规定，依</w:t>
      </w:r>
      <w:r>
        <w:rPr>
          <w:spacing w:val="1"/>
          <w:w w:val="95"/>
        </w:rPr>
        <w:t xml:space="preserve"> </w:t>
      </w:r>
      <w:r>
        <w:t>据规划要求，统筹安排幼儿园建设工作。</w:t>
      </w:r>
    </w:p>
    <w:p>
      <w:pPr>
        <w:pStyle w:val="3"/>
        <w:spacing w:line="328" w:lineRule="auto"/>
        <w:ind w:left="108" w:right="289" w:firstLine="640"/>
      </w:pPr>
      <w:r>
        <w:rPr>
          <w:rFonts w:hint="eastAsia" w:ascii="黑体" w:eastAsia="黑体"/>
          <w:spacing w:val="-1"/>
        </w:rPr>
        <w:t>二十八、</w:t>
      </w:r>
      <w:r>
        <w:rPr>
          <w:spacing w:val="-1"/>
        </w:rPr>
        <w:t>吉林市教育局、吉林市发展和改革委员会、吉林市</w:t>
      </w:r>
      <w:r>
        <w:t>财政局、吉林市规划和自然资源局、吉林市住房和城乡建设局、</w:t>
      </w:r>
      <w:r>
        <w:rPr>
          <w:spacing w:val="-5"/>
        </w:rPr>
        <w:t>吉林市政务服务和数字化建设管理局对本部门内设机构、所属事</w:t>
      </w:r>
      <w:r>
        <w:rPr>
          <w:spacing w:val="-1"/>
        </w:rPr>
        <w:t>业单位及各县（</w:t>
      </w:r>
      <w:r>
        <w:t>市）区、开发区落实本办法情况进行监督、检查</w:t>
      </w:r>
      <w:r>
        <w:rPr>
          <w:spacing w:val="-12"/>
        </w:rPr>
        <w:t>和考核，并及时将结果转化运用。对群众举报并经查实和督查检</w:t>
      </w:r>
      <w:r>
        <w:rPr>
          <w:spacing w:val="-19"/>
          <w:w w:val="95"/>
        </w:rPr>
        <w:t>查中发现的缩水走样、弄虚作假、不落实等问题，启动追责机制。</w:t>
      </w:r>
    </w:p>
    <w:p>
      <w:pPr>
        <w:pStyle w:val="3"/>
        <w:spacing w:line="400" w:lineRule="exact"/>
        <w:ind w:left="749"/>
      </w:pPr>
      <w:r>
        <w:rPr>
          <w:rFonts w:hint="eastAsia" w:ascii="黑体" w:eastAsia="黑体"/>
          <w:w w:val="95"/>
        </w:rPr>
        <w:t>二十九、</w:t>
      </w:r>
      <w:r>
        <w:rPr>
          <w:spacing w:val="-7"/>
          <w:w w:val="95"/>
        </w:rPr>
        <w:t xml:space="preserve">本办法自 </w:t>
      </w:r>
      <w:r>
        <w:rPr>
          <w:w w:val="95"/>
        </w:rPr>
        <w:t>2020</w:t>
      </w:r>
      <w:r>
        <w:rPr>
          <w:spacing w:val="-22"/>
          <w:w w:val="95"/>
        </w:rPr>
        <w:t xml:space="preserve"> 年 </w:t>
      </w:r>
      <w:r>
        <w:rPr>
          <w:w w:val="95"/>
        </w:rPr>
        <w:t>12</w:t>
      </w:r>
      <w:r>
        <w:rPr>
          <w:spacing w:val="-22"/>
          <w:w w:val="95"/>
        </w:rPr>
        <w:t xml:space="preserve"> 月 </w:t>
      </w:r>
      <w:r>
        <w:rPr>
          <w:w w:val="95"/>
        </w:rPr>
        <w:t>1</w:t>
      </w:r>
      <w:r>
        <w:rPr>
          <w:spacing w:val="-7"/>
          <w:w w:val="95"/>
        </w:rPr>
        <w:t xml:space="preserve"> 日起施行。</w:t>
      </w:r>
    </w:p>
    <w:sectPr>
      <w:footerReference r:id="rId5" w:type="even"/>
      <w:pgSz w:w="11910" w:h="16840"/>
      <w:pgMar w:top="1580" w:right="1020" w:bottom="1160" w:left="1480" w:header="0" w:footer="972" w:gutter="0"/>
      <w:pgNumType w:start="1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Segoe UI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Segoe U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485.6pt;margin-top:782.25pt;height:16.05pt;width:40.1pt;mso-position-horizontal-relative:page;mso-position-vertical-relative:page;z-index:-1584025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</w:t>
                </w:r>
                <w:r>
                  <w:rPr>
                    <w:spacing w:val="1"/>
                    <w:sz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pacing w:val="-1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78.4pt;margin-top:782.25pt;height:16.05pt;width:40.1pt;mso-position-horizontal-relative:page;mso-position-vertical-relative:page;z-index:-1583923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</w:t>
                </w:r>
                <w:r>
                  <w:rPr>
                    <w:spacing w:val="1"/>
                    <w:sz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spacing w:val="-1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1" o:spid="_x0000_s2051" o:spt="202" type="#_x0000_t202" style="position:absolute;left:0pt;margin-left:78.4pt;margin-top:782.25pt;height:16.05pt;width:47.1pt;mso-position-horizontal-relative:page;mso-position-vertical-relative:page;z-index:-1583923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</w:t>
                </w:r>
                <w:r>
                  <w:rPr>
                    <w:spacing w:val="1"/>
                    <w:sz w:val="28"/>
                  </w:rPr>
                  <w:t xml:space="preserve">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pacing w:val="1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-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B8711E3"/>
    <w:rsid w:val="1AD763AC"/>
    <w:rsid w:val="1CB863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56"/>
      <w:ind w:left="552" w:right="898"/>
      <w:jc w:val="center"/>
      <w:outlineLvl w:val="1"/>
    </w:pPr>
    <w:rPr>
      <w:rFonts w:ascii="PMingLiU" w:hAnsi="PMingLiU" w:eastAsia="PMingLiU" w:cs="PMingLiU"/>
      <w:sz w:val="44"/>
      <w:szCs w:val="4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4">
    <w:name w:val="Title"/>
    <w:basedOn w:val="1"/>
    <w:qFormat/>
    <w:uiPriority w:val="1"/>
    <w:pPr>
      <w:spacing w:line="1430" w:lineRule="exact"/>
    </w:pPr>
    <w:rPr>
      <w:rFonts w:ascii="PMingLiU" w:hAnsi="PMingLiU" w:eastAsia="PMingLiU" w:cs="PMingLiU"/>
      <w:sz w:val="120"/>
      <w:szCs w:val="120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2021-03-23T16:44:00Z</dcterms:created>
  <dc:creator>inspur</dc:creator>
  <cp:lastModifiedBy>422982</cp:lastModifiedBy>
  <dcterms:modified xsi:type="dcterms:W3CDTF">2021-03-31T03:12:42Z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LastSaved">
    <vt:filetime>2021-03-23T00:00:00Z</vt:filetime>
  </property>
  <property fmtid="{D5CDD505-2E9C-101B-9397-08002B2CF9AE}" pid="4" name="KSOProductBuildVer">
    <vt:lpwstr>2052-11.1.0.10314</vt:lpwstr>
  </property>
</Properties>
</file>